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3B8" w14:textId="3EA66368" w:rsidR="000E3416" w:rsidRPr="000E3416" w:rsidRDefault="000E3416" w:rsidP="000E3416">
      <w:pPr>
        <w:jc w:val="center"/>
        <w:rPr>
          <w:rFonts w:hint="eastAsia"/>
          <w:b/>
          <w:sz w:val="36"/>
          <w:szCs w:val="36"/>
        </w:rPr>
      </w:pPr>
      <w:r w:rsidRPr="000E3416">
        <w:rPr>
          <w:rFonts w:hint="eastAsia"/>
          <w:b/>
          <w:sz w:val="36"/>
          <w:szCs w:val="36"/>
        </w:rPr>
        <w:t>河北省学士学位论文管理平台操作前必读</w:t>
      </w:r>
    </w:p>
    <w:p w14:paraId="00277FC5" w14:textId="21BC7627" w:rsidR="00B24408" w:rsidRDefault="000E3416" w:rsidP="000E341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新增功能</w:t>
      </w:r>
    </w:p>
    <w:p w14:paraId="560D7329" w14:textId="53EDD863" w:rsidR="000E3416" w:rsidRDefault="000E3416" w:rsidP="000E3416">
      <w:pPr>
        <w:numPr>
          <w:ilvl w:val="0"/>
          <w:numId w:val="3"/>
        </w:numPr>
        <w:spacing w:line="360" w:lineRule="auto"/>
        <w:rPr>
          <w:szCs w:val="21"/>
        </w:rPr>
      </w:pPr>
      <w:r w:rsidRPr="000E3416">
        <w:rPr>
          <w:rFonts w:hint="eastAsia"/>
          <w:szCs w:val="21"/>
        </w:rPr>
        <w:t>绑定手机号：</w:t>
      </w:r>
      <w:r w:rsidRPr="000E3416">
        <w:rPr>
          <w:rFonts w:hint="eastAsia"/>
          <w:szCs w:val="21"/>
        </w:rPr>
        <w:t>登录之后请立即绑定手机，为了安全，方便多次密码登录失败后进行验证</w:t>
      </w:r>
      <w:r>
        <w:rPr>
          <w:rFonts w:hint="eastAsia"/>
          <w:szCs w:val="21"/>
        </w:rPr>
        <w:t>。</w:t>
      </w:r>
    </w:p>
    <w:p w14:paraId="66932781" w14:textId="1F3E0B18" w:rsidR="00034766" w:rsidRDefault="00034766" w:rsidP="00034766">
      <w:pPr>
        <w:spacing w:line="360" w:lineRule="auto"/>
        <w:ind w:left="426"/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2A3C4ABF" wp14:editId="5105A462">
            <wp:extent cx="3458346" cy="187157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8673" cy="187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7AF8" w14:textId="60802ED3" w:rsidR="000E3416" w:rsidRDefault="00B21F8E" w:rsidP="000E3416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操作流程的提示：如遇到操作流程的问题，可以点击右上角“？”，方便解决问题。</w:t>
      </w:r>
    </w:p>
    <w:p w14:paraId="30912BB8" w14:textId="12C4DC45" w:rsidR="00034766" w:rsidRDefault="00034766" w:rsidP="00034766">
      <w:pPr>
        <w:spacing w:line="360" w:lineRule="auto"/>
        <w:ind w:left="720"/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2542EC94" wp14:editId="2BF33A35">
            <wp:extent cx="3745948" cy="1798999"/>
            <wp:effectExtent l="0" t="0" r="698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6359" cy="179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0FC2" w14:textId="2F18CADB" w:rsidR="00F80FF7" w:rsidRDefault="00F80FF7" w:rsidP="000E3416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检测通过标准设置：学校管理员可以对各学院或各专业的检测通过标准进行设置。</w:t>
      </w:r>
    </w:p>
    <w:p w14:paraId="652B0A40" w14:textId="28B76954" w:rsidR="00D352FB" w:rsidRDefault="00D352FB" w:rsidP="00D352FB">
      <w:pPr>
        <w:spacing w:line="360" w:lineRule="auto"/>
        <w:ind w:leftChars="135" w:left="283"/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1F5081E0" wp14:editId="528BB62D">
            <wp:extent cx="5274310" cy="10871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7BE6" w14:textId="4F1B0A0D" w:rsidR="00034766" w:rsidRDefault="00034766" w:rsidP="000E3416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导入学生基础信息的日志</w:t>
      </w:r>
      <w:r w:rsidR="004A75E7">
        <w:rPr>
          <w:rFonts w:hint="eastAsia"/>
          <w:szCs w:val="21"/>
        </w:rPr>
        <w:t>导出</w:t>
      </w:r>
      <w:r>
        <w:rPr>
          <w:rFonts w:hint="eastAsia"/>
          <w:szCs w:val="21"/>
        </w:rPr>
        <w:t>：</w:t>
      </w:r>
      <w:r w:rsidR="001E2C4B">
        <w:rPr>
          <w:rFonts w:hint="eastAsia"/>
          <w:szCs w:val="21"/>
        </w:rPr>
        <w:t>学生基础信息的导入记录。</w:t>
      </w:r>
    </w:p>
    <w:p w14:paraId="690F0589" w14:textId="72157B7E" w:rsidR="004A75E7" w:rsidRDefault="004A75E7" w:rsidP="004A75E7">
      <w:pPr>
        <w:spacing w:line="360" w:lineRule="auto"/>
        <w:ind w:left="284"/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3D2F7A33" wp14:editId="7F235DFA">
            <wp:extent cx="5274310" cy="6654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EBADA" w14:textId="09AA36E5" w:rsidR="004A75E7" w:rsidRDefault="00D60708" w:rsidP="000E3416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提交论文的日志</w:t>
      </w:r>
      <w:r w:rsidR="001E2C4B">
        <w:rPr>
          <w:rFonts w:hint="eastAsia"/>
          <w:szCs w:val="21"/>
        </w:rPr>
        <w:t>：</w:t>
      </w:r>
      <w:r w:rsidR="001E2C4B" w:rsidRPr="001E2C4B">
        <w:rPr>
          <w:rFonts w:hint="eastAsia"/>
          <w:szCs w:val="21"/>
        </w:rPr>
        <w:t>根据自己的需求增加或者不增加筛选条件，点击“搜索”后既可</w:t>
      </w:r>
      <w:r w:rsidR="001E2C4B" w:rsidRPr="001E2C4B">
        <w:rPr>
          <w:rFonts w:hint="eastAsia"/>
          <w:szCs w:val="21"/>
        </w:rPr>
        <w:lastRenderedPageBreak/>
        <w:t>以查看搜索结果，点击“导出</w:t>
      </w:r>
      <w:r w:rsidR="001E2C4B" w:rsidRPr="001E2C4B">
        <w:rPr>
          <w:szCs w:val="21"/>
        </w:rPr>
        <w:t>Excel”</w:t>
      </w:r>
      <w:r w:rsidR="00362D7D">
        <w:rPr>
          <w:rFonts w:hint="eastAsia"/>
          <w:szCs w:val="21"/>
        </w:rPr>
        <w:t>。</w:t>
      </w:r>
    </w:p>
    <w:p w14:paraId="5D96AA95" w14:textId="2AD4C60A" w:rsidR="001E2C4B" w:rsidRDefault="00D60708" w:rsidP="00B6191F">
      <w:pPr>
        <w:spacing w:line="360" w:lineRule="auto"/>
        <w:ind w:leftChars="-67" w:left="-141" w:firstLine="1"/>
        <w:jc w:val="center"/>
        <w:rPr>
          <w:szCs w:val="21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60DA26D" wp14:editId="741CE578">
            <wp:extent cx="5271770" cy="2505075"/>
            <wp:effectExtent l="0" t="0" r="5080" b="952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0F13" w14:textId="523EF8AF" w:rsidR="00362D7D" w:rsidRPr="00362D7D" w:rsidRDefault="00362D7D" w:rsidP="00D60708">
      <w:pPr>
        <w:numPr>
          <w:ilvl w:val="0"/>
          <w:numId w:val="3"/>
        </w:numPr>
        <w:spacing w:line="360" w:lineRule="auto"/>
        <w:rPr>
          <w:rFonts w:hint="eastAsia"/>
          <w:b/>
          <w:color w:val="FF0000"/>
          <w:szCs w:val="21"/>
        </w:rPr>
      </w:pPr>
      <w:r w:rsidRPr="00362D7D">
        <w:rPr>
          <w:rFonts w:hint="eastAsia"/>
          <w:b/>
          <w:color w:val="FF0000"/>
          <w:szCs w:val="21"/>
        </w:rPr>
        <w:t>学位设置：全部论文和设计提交结束之后进行学位的导入，包括了学位证编号</w:t>
      </w:r>
      <w:r>
        <w:rPr>
          <w:rFonts w:hint="eastAsia"/>
          <w:b/>
          <w:color w:val="FF0000"/>
          <w:szCs w:val="21"/>
        </w:rPr>
        <w:t>的导入</w:t>
      </w:r>
      <w:r w:rsidRPr="00362D7D">
        <w:rPr>
          <w:rFonts w:hint="eastAsia"/>
          <w:b/>
          <w:color w:val="FF0000"/>
          <w:szCs w:val="21"/>
        </w:rPr>
        <w:t>。</w:t>
      </w:r>
    </w:p>
    <w:p w14:paraId="086DAE95" w14:textId="2B58DE9F" w:rsidR="00362D7D" w:rsidRDefault="00362D7D" w:rsidP="00362D7D">
      <w:pPr>
        <w:jc w:val="center"/>
        <w:outlineLvl w:val="2"/>
        <w:rPr>
          <w:rFonts w:ascii="微软雅黑" w:eastAsia="微软雅黑" w:hAnsi="微软雅黑" w:cs="微软雅黑"/>
          <w:sz w:val="24"/>
          <w:szCs w:val="32"/>
        </w:rPr>
      </w:pPr>
      <w:bookmarkStart w:id="0" w:name="_Toc8572087"/>
      <w:r>
        <w:rPr>
          <w:noProof/>
        </w:rPr>
        <w:drawing>
          <wp:inline distT="0" distB="0" distL="0" distR="0" wp14:anchorId="560A8AFE" wp14:editId="65ADE60E">
            <wp:extent cx="4500880" cy="109109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4805" cy="109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765177" w14:textId="77777777" w:rsidR="00362D7D" w:rsidRDefault="00362D7D" w:rsidP="00362D7D">
      <w:pPr>
        <w:tabs>
          <w:tab w:val="left" w:pos="709"/>
          <w:tab w:val="left" w:pos="1134"/>
        </w:tabs>
        <w:ind w:leftChars="-67" w:left="-141" w:firstLineChars="400" w:firstLine="840"/>
        <w:jc w:val="left"/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632A0A99" wp14:editId="1F02048A">
            <wp:extent cx="4700772" cy="1568174"/>
            <wp:effectExtent l="0" t="0" r="508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2572" cy="156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1D31" w14:textId="77777777" w:rsidR="00362D7D" w:rsidRPr="00A33F91" w:rsidRDefault="00362D7D" w:rsidP="00362D7D">
      <w:pPr>
        <w:ind w:firstLineChars="200" w:firstLine="420"/>
        <w:rPr>
          <w:rFonts w:ascii="微软雅黑" w:eastAsia="微软雅黑" w:hAnsi="微软雅黑" w:cs="微软雅黑"/>
          <w:b/>
          <w:color w:val="FF0000"/>
        </w:rPr>
      </w:pPr>
      <w:r w:rsidRPr="00A33F91">
        <w:rPr>
          <w:rFonts w:ascii="微软雅黑" w:eastAsia="微软雅黑" w:hAnsi="微软雅黑" w:cs="微软雅黑" w:hint="eastAsia"/>
          <w:b/>
          <w:color w:val="FF0000"/>
        </w:rPr>
        <w:t>注意：为保证快速有效的提交学位证书编号，请仔细阅读模板中的注意事项。</w:t>
      </w:r>
    </w:p>
    <w:p w14:paraId="25F03E55" w14:textId="010E43CB" w:rsidR="00B6191F" w:rsidRDefault="00B6191F" w:rsidP="00B6191F">
      <w:pPr>
        <w:numPr>
          <w:ilvl w:val="0"/>
          <w:numId w:val="3"/>
        </w:numPr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特殊情况处理</w:t>
      </w:r>
      <w:r w:rsidRPr="00362D7D">
        <w:rPr>
          <w:rFonts w:hint="eastAsia"/>
          <w:b/>
          <w:color w:val="FF0000"/>
          <w:szCs w:val="21"/>
        </w:rPr>
        <w:t>：</w:t>
      </w:r>
      <w:r w:rsidRPr="00B6191F">
        <w:rPr>
          <w:rFonts w:hint="eastAsia"/>
          <w:b/>
          <w:color w:val="FF0000"/>
          <w:szCs w:val="21"/>
        </w:rPr>
        <w:t>通过学生学号和论文标题撤销论文，同时支持上传说明文件</w:t>
      </w:r>
      <w:r w:rsidRPr="00362D7D">
        <w:rPr>
          <w:rFonts w:hint="eastAsia"/>
          <w:b/>
          <w:color w:val="FF0000"/>
          <w:szCs w:val="21"/>
        </w:rPr>
        <w:t>。</w:t>
      </w:r>
    </w:p>
    <w:p w14:paraId="13A94CFC" w14:textId="386D698C" w:rsidR="00B6191F" w:rsidRDefault="00B6191F" w:rsidP="00B6191F">
      <w:pPr>
        <w:spacing w:line="360" w:lineRule="auto"/>
        <w:jc w:val="center"/>
        <w:rPr>
          <w:b/>
          <w:color w:val="FF0000"/>
          <w:szCs w:val="21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469A0575" wp14:editId="529411A9">
            <wp:extent cx="4333461" cy="1337913"/>
            <wp:effectExtent l="0" t="0" r="0" b="0"/>
            <wp:docPr id="4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0844" cy="13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CC56" w14:textId="628272A7" w:rsidR="00D60708" w:rsidRPr="00B15D94" w:rsidRDefault="00B6191F" w:rsidP="00B15D94">
      <w:pPr>
        <w:ind w:firstLineChars="200" w:firstLine="420"/>
        <w:rPr>
          <w:rFonts w:ascii="微软雅黑" w:eastAsia="微软雅黑" w:hAnsi="微软雅黑" w:cs="微软雅黑" w:hint="eastAsia"/>
          <w:b/>
          <w:color w:val="FF0000"/>
        </w:rPr>
      </w:pPr>
      <w:r w:rsidRPr="00A33F91">
        <w:rPr>
          <w:rFonts w:ascii="微软雅黑" w:eastAsia="微软雅黑" w:hAnsi="微软雅黑" w:cs="微软雅黑" w:hint="eastAsia"/>
          <w:b/>
          <w:color w:val="FF0000"/>
        </w:rPr>
        <w:t>注意：</w:t>
      </w:r>
      <w:r w:rsidR="008317FE" w:rsidRPr="00E8082E">
        <w:rPr>
          <w:rFonts w:ascii="微软雅黑" w:eastAsia="微软雅黑" w:hAnsi="微软雅黑" w:cs="微软雅黑" w:hint="eastAsia"/>
          <w:b/>
          <w:color w:val="FF0000"/>
        </w:rPr>
        <w:t>尽量避免特殊情况处理</w:t>
      </w:r>
      <w:r w:rsidR="00B15D94">
        <w:rPr>
          <w:rFonts w:ascii="微软雅黑" w:eastAsia="微软雅黑" w:hAnsi="微软雅黑" w:cs="微软雅黑" w:hint="eastAsia"/>
          <w:b/>
          <w:color w:val="FF0000"/>
        </w:rPr>
        <w:t>的</w:t>
      </w:r>
      <w:r w:rsidR="008317FE" w:rsidRPr="00E8082E">
        <w:rPr>
          <w:rFonts w:ascii="微软雅黑" w:eastAsia="微软雅黑" w:hAnsi="微软雅黑" w:cs="微软雅黑" w:hint="eastAsia"/>
          <w:b/>
          <w:color w:val="FF0000"/>
        </w:rPr>
        <w:t>操作，此操作提交后，需要学位办审核</w:t>
      </w:r>
      <w:r w:rsidRPr="00A33F91">
        <w:rPr>
          <w:rFonts w:ascii="微软雅黑" w:eastAsia="微软雅黑" w:hAnsi="微软雅黑" w:cs="微软雅黑" w:hint="eastAsia"/>
          <w:b/>
          <w:color w:val="FF0000"/>
        </w:rPr>
        <w:t>。</w:t>
      </w:r>
      <w:r w:rsidR="00B15D94">
        <w:rPr>
          <w:rFonts w:ascii="微软雅黑" w:eastAsia="微软雅黑" w:hAnsi="微软雅黑" w:cs="微软雅黑"/>
          <w:b/>
          <w:color w:val="FF0000"/>
        </w:rPr>
        <w:br w:type="page"/>
      </w:r>
    </w:p>
    <w:p w14:paraId="4C1388B0" w14:textId="6BC17F86" w:rsidR="000E3416" w:rsidRDefault="00286855" w:rsidP="000E341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推荐流程</w:t>
      </w:r>
    </w:p>
    <w:p w14:paraId="00EB0C64" w14:textId="1D17A777" w:rsidR="00106C0D" w:rsidRPr="001720C8" w:rsidRDefault="00106C0D" w:rsidP="00106C0D">
      <w:pPr>
        <w:ind w:left="426" w:firstLineChars="140" w:firstLine="294"/>
        <w:rPr>
          <w:rFonts w:ascii="微软雅黑" w:eastAsia="微软雅黑" w:hAnsi="微软雅黑" w:cs="微软雅黑"/>
        </w:rPr>
      </w:pPr>
      <w:r w:rsidRPr="001720C8">
        <w:rPr>
          <w:rFonts w:ascii="微软雅黑" w:eastAsia="微软雅黑" w:hAnsi="微软雅黑" w:cs="微软雅黑" w:hint="eastAsia"/>
        </w:rPr>
        <w:t>推荐流程：学校管理员导入院系，设置检测</w:t>
      </w:r>
      <w:r w:rsidR="001401E5" w:rsidRPr="001720C8">
        <w:rPr>
          <w:rFonts w:ascii="微软雅黑" w:eastAsia="微软雅黑" w:hAnsi="微软雅黑" w:cs="微软雅黑" w:hint="eastAsia"/>
        </w:rPr>
        <w:t>通过</w:t>
      </w:r>
      <w:r w:rsidRPr="001720C8">
        <w:rPr>
          <w:rFonts w:ascii="微软雅黑" w:eastAsia="微软雅黑" w:hAnsi="微软雅黑" w:cs="微软雅黑" w:hint="eastAsia"/>
        </w:rPr>
        <w:t>标准&gt;&gt;导入院系管理员账号&gt;&gt;院系管理员导入专业和班级&gt;&gt;院系管理员导入学生基本信息&gt;&gt;院系管理员上</w:t>
      </w:r>
      <w:proofErr w:type="gramStart"/>
      <w:r w:rsidRPr="001720C8">
        <w:rPr>
          <w:rFonts w:ascii="微软雅黑" w:eastAsia="微软雅黑" w:hAnsi="微软雅黑" w:cs="微软雅黑" w:hint="eastAsia"/>
        </w:rPr>
        <w:t>传学生</w:t>
      </w:r>
      <w:proofErr w:type="gramEnd"/>
      <w:r w:rsidRPr="001720C8">
        <w:rPr>
          <w:rFonts w:ascii="微软雅黑" w:eastAsia="微软雅黑" w:hAnsi="微软雅黑" w:cs="微软雅黑" w:hint="eastAsia"/>
        </w:rPr>
        <w:t>论文进行检测&gt;&gt;学位设置&gt;&gt;学校管理员进行统计分析。</w:t>
      </w:r>
    </w:p>
    <w:p w14:paraId="76E5064E" w14:textId="2EF7337C" w:rsidR="001720C8" w:rsidRDefault="0056270E" w:rsidP="00106C0D">
      <w:pPr>
        <w:ind w:left="426" w:firstLineChars="140" w:firstLine="294"/>
        <w:rPr>
          <w:rFonts w:ascii="微软雅黑" w:eastAsia="微软雅黑" w:hAnsi="微软雅黑" w:cs="微软雅黑"/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（1）</w:t>
      </w:r>
      <w:r w:rsidR="001720C8">
        <w:rPr>
          <w:rFonts w:ascii="微软雅黑" w:eastAsia="微软雅黑" w:hAnsi="微软雅黑" w:cs="微软雅黑" w:hint="eastAsia"/>
          <w:b/>
          <w:color w:val="FF0000"/>
        </w:rPr>
        <w:t>双学位的高校：</w:t>
      </w:r>
    </w:p>
    <w:p w14:paraId="76634B0E" w14:textId="663785E9" w:rsidR="00395574" w:rsidRDefault="00395574" w:rsidP="00831E24">
      <w:pPr>
        <w:spacing w:line="360" w:lineRule="auto"/>
        <w:ind w:left="426" w:firstLineChars="140" w:firstLine="308"/>
        <w:rPr>
          <w:rFonts w:ascii="微软雅黑" w:eastAsia="微软雅黑" w:hAnsi="微软雅黑"/>
          <w:color w:val="FF0000"/>
          <w:sz w:val="20"/>
          <w:szCs w:val="20"/>
        </w:rPr>
      </w:pPr>
      <w:r w:rsidRPr="00395574">
        <w:rPr>
          <w:rFonts w:hint="eastAsia"/>
          <w:b/>
          <w:bCs/>
          <w:color w:val="FF0000"/>
          <w:sz w:val="22"/>
          <w:szCs w:val="28"/>
        </w:rPr>
        <w:t>院系管理员导入</w:t>
      </w:r>
      <w:r w:rsidR="00C17D46">
        <w:rPr>
          <w:rFonts w:hint="eastAsia"/>
          <w:b/>
          <w:bCs/>
          <w:color w:val="FF0000"/>
          <w:sz w:val="22"/>
          <w:szCs w:val="28"/>
        </w:rPr>
        <w:t>非双学位</w:t>
      </w:r>
      <w:r w:rsidRPr="00395574">
        <w:rPr>
          <w:rFonts w:hint="eastAsia"/>
          <w:b/>
          <w:bCs/>
          <w:color w:val="FF0000"/>
          <w:sz w:val="22"/>
          <w:szCs w:val="28"/>
        </w:rPr>
        <w:t>学生基本信息</w:t>
      </w:r>
      <w:r>
        <w:rPr>
          <w:rFonts w:hint="eastAsia"/>
          <w:b/>
          <w:bCs/>
          <w:color w:val="FF0000"/>
          <w:sz w:val="22"/>
          <w:szCs w:val="28"/>
        </w:rPr>
        <w:t>后，学校管理员</w:t>
      </w:r>
      <w:r w:rsidR="001720C8">
        <w:rPr>
          <w:rFonts w:hint="eastAsia"/>
          <w:b/>
          <w:bCs/>
          <w:color w:val="FF0000"/>
          <w:sz w:val="22"/>
          <w:szCs w:val="28"/>
        </w:rPr>
        <w:t>将双学位的学生基础信息</w:t>
      </w:r>
      <w:r>
        <w:rPr>
          <w:rFonts w:hint="eastAsia"/>
          <w:b/>
          <w:bCs/>
          <w:color w:val="FF0000"/>
          <w:sz w:val="22"/>
          <w:szCs w:val="28"/>
        </w:rPr>
        <w:t>按照双学位的要求</w:t>
      </w:r>
      <w:r w:rsidR="001720C8">
        <w:rPr>
          <w:rFonts w:hint="eastAsia"/>
          <w:b/>
          <w:bCs/>
          <w:color w:val="FF0000"/>
          <w:sz w:val="22"/>
          <w:szCs w:val="28"/>
        </w:rPr>
        <w:t>进行导入即可。</w:t>
      </w:r>
      <w:r w:rsidRPr="00E279CC">
        <w:rPr>
          <w:rFonts w:ascii="微软雅黑" w:eastAsia="微软雅黑" w:hAnsi="微软雅黑" w:hint="eastAsia"/>
          <w:color w:val="FF0000"/>
          <w:sz w:val="20"/>
          <w:szCs w:val="20"/>
        </w:rPr>
        <w:t>双学位学生所属班级请用英文“;”隔开，例如：计算机科学与技术01;信息管理系统01。</w:t>
      </w:r>
    </w:p>
    <w:p w14:paraId="0DEF9135" w14:textId="7FDD3294" w:rsidR="0056270E" w:rsidRDefault="0056270E" w:rsidP="00831E24">
      <w:pPr>
        <w:spacing w:line="360" w:lineRule="auto"/>
        <w:ind w:left="426" w:firstLineChars="140" w:firstLine="308"/>
        <w:rPr>
          <w:bCs/>
          <w:sz w:val="22"/>
          <w:szCs w:val="28"/>
        </w:rPr>
      </w:pPr>
      <w:r w:rsidRPr="0056270E">
        <w:rPr>
          <w:rFonts w:hint="eastAsia"/>
          <w:bCs/>
          <w:sz w:val="22"/>
          <w:szCs w:val="28"/>
        </w:rPr>
        <w:t>（2</w:t>
      </w:r>
      <w:r>
        <w:rPr>
          <w:rFonts w:hint="eastAsia"/>
          <w:bCs/>
          <w:sz w:val="22"/>
          <w:szCs w:val="28"/>
        </w:rPr>
        <w:t>）导入学院管理员账号时，不需要给各院系分配次数，每个学生消耗的次数都是学校管理员次数。</w:t>
      </w:r>
    </w:p>
    <w:p w14:paraId="63EA5EA2" w14:textId="7CA94217" w:rsidR="00C17D46" w:rsidRDefault="00C17D46" w:rsidP="00831E24">
      <w:pPr>
        <w:spacing w:line="360" w:lineRule="auto"/>
        <w:ind w:left="426" w:firstLineChars="140" w:firstLine="308"/>
        <w:rPr>
          <w:bCs/>
          <w:sz w:val="22"/>
          <w:szCs w:val="28"/>
        </w:rPr>
      </w:pPr>
      <w:r>
        <w:rPr>
          <w:rFonts w:hint="eastAsia"/>
          <w:bCs/>
          <w:sz w:val="22"/>
          <w:szCs w:val="28"/>
        </w:rPr>
        <w:t>（3）文档提交时要注意分类，是论文还是设计还是作品阐述/创作报告。</w:t>
      </w:r>
    </w:p>
    <w:p w14:paraId="6406C845" w14:textId="0F39F822" w:rsidR="00C17D46" w:rsidRDefault="00C17D46" w:rsidP="00831E24">
      <w:pPr>
        <w:spacing w:line="360" w:lineRule="auto"/>
        <w:ind w:left="426" w:firstLineChars="140" w:firstLine="294"/>
        <w:rPr>
          <w:rFonts w:hint="eastAsia"/>
          <w:bCs/>
          <w:sz w:val="22"/>
          <w:szCs w:val="28"/>
        </w:rPr>
      </w:pPr>
      <w:r>
        <w:rPr>
          <w:noProof/>
        </w:rPr>
        <w:drawing>
          <wp:inline distT="0" distB="0" distL="0" distR="0" wp14:anchorId="3DF0E194" wp14:editId="1D1A2D12">
            <wp:extent cx="4787844" cy="231362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7844" cy="231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271F3" w14:textId="55EEA981" w:rsidR="00C17D46" w:rsidRDefault="00C17D46" w:rsidP="00C17D4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关于学位设置</w:t>
      </w:r>
    </w:p>
    <w:p w14:paraId="41701D97" w14:textId="29C04B93" w:rsidR="00C17D46" w:rsidRDefault="00C17D46" w:rsidP="00325190">
      <w:pPr>
        <w:ind w:left="720"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学位设置不影响各高校的</w:t>
      </w:r>
      <w:r w:rsidR="00325190">
        <w:rPr>
          <w:rFonts w:ascii="微软雅黑" w:eastAsia="微软雅黑" w:hAnsi="微软雅黑" w:cs="微软雅黑" w:hint="eastAsia"/>
        </w:rPr>
        <w:t>论文/设计/作品阐述/创作报告</w:t>
      </w:r>
      <w:r w:rsidR="00325190">
        <w:rPr>
          <w:rFonts w:ascii="微软雅黑" w:eastAsia="微软雅黑" w:hAnsi="微软雅黑" w:cs="微软雅黑" w:hint="eastAsia"/>
        </w:rPr>
        <w:t>（</w:t>
      </w:r>
      <w:r w:rsidR="00325190">
        <w:rPr>
          <w:rFonts w:ascii="微软雅黑" w:eastAsia="微软雅黑" w:hAnsi="微软雅黑" w:cs="微软雅黑" w:hint="eastAsia"/>
        </w:rPr>
        <w:t>以下简称“文本”</w:t>
      </w:r>
      <w:r w:rsidR="00325190">
        <w:rPr>
          <w:rFonts w:ascii="微软雅黑" w:eastAsia="微软雅黑" w:hAnsi="微软雅黑" w:cs="微软雅黑" w:hint="eastAsia"/>
        </w:rPr>
        <w:t>）</w:t>
      </w:r>
      <w:r>
        <w:rPr>
          <w:rFonts w:ascii="微软雅黑" w:eastAsia="微软雅黑" w:hAnsi="微软雅黑" w:cs="微软雅黑" w:hint="eastAsia"/>
        </w:rPr>
        <w:t>上传，</w:t>
      </w:r>
      <w:r w:rsidR="00325190">
        <w:rPr>
          <w:rFonts w:ascii="微软雅黑" w:eastAsia="微软雅黑" w:hAnsi="微软雅黑" w:cs="微软雅黑" w:hint="eastAsia"/>
        </w:rPr>
        <w:t>学位设置是本届</w:t>
      </w:r>
      <w:r w:rsidR="00325190">
        <w:rPr>
          <w:rFonts w:ascii="微软雅黑" w:eastAsia="微软雅黑" w:hAnsi="微软雅黑" w:cs="微软雅黑" w:hint="eastAsia"/>
        </w:rPr>
        <w:t>所有的文本</w:t>
      </w:r>
      <w:r w:rsidR="00325190">
        <w:rPr>
          <w:rFonts w:ascii="微软雅黑" w:eastAsia="微软雅黑" w:hAnsi="微软雅黑" w:cs="微软雅黑" w:hint="eastAsia"/>
        </w:rPr>
        <w:t>上</w:t>
      </w:r>
      <w:proofErr w:type="gramStart"/>
      <w:r w:rsidR="00325190">
        <w:rPr>
          <w:rFonts w:ascii="微软雅黑" w:eastAsia="微软雅黑" w:hAnsi="微软雅黑" w:cs="微软雅黑" w:hint="eastAsia"/>
        </w:rPr>
        <w:t>传结束</w:t>
      </w:r>
      <w:proofErr w:type="gramEnd"/>
      <w:r w:rsidR="00325190">
        <w:rPr>
          <w:rFonts w:ascii="微软雅黑" w:eastAsia="微软雅黑" w:hAnsi="微软雅黑" w:cs="微软雅黑" w:hint="eastAsia"/>
        </w:rPr>
        <w:t>后，再提交学位及学位证编号，与学生的学号进行匹配</w:t>
      </w:r>
      <w:r w:rsidRPr="001720C8">
        <w:rPr>
          <w:rFonts w:ascii="微软雅黑" w:eastAsia="微软雅黑" w:hAnsi="微软雅黑" w:cs="微软雅黑" w:hint="eastAsia"/>
        </w:rPr>
        <w:t>。</w:t>
      </w:r>
      <w:r w:rsidR="00325190">
        <w:rPr>
          <w:rFonts w:ascii="微软雅黑" w:eastAsia="微软雅黑" w:hAnsi="微软雅黑" w:cs="微软雅黑" w:hint="eastAsia"/>
        </w:rPr>
        <w:t>如学生由于</w:t>
      </w:r>
      <w:r w:rsidR="005B17E3">
        <w:rPr>
          <w:rFonts w:ascii="微软雅黑" w:eastAsia="微软雅黑" w:hAnsi="微软雅黑" w:cs="微软雅黑" w:hint="eastAsia"/>
        </w:rPr>
        <w:t>文本</w:t>
      </w:r>
      <w:r w:rsidR="00325190">
        <w:rPr>
          <w:rFonts w:ascii="微软雅黑" w:eastAsia="微软雅黑" w:hAnsi="微软雅黑" w:cs="微软雅黑" w:hint="eastAsia"/>
        </w:rPr>
        <w:t>本身的原因</w:t>
      </w:r>
      <w:r w:rsidR="005B17E3">
        <w:rPr>
          <w:rFonts w:ascii="微软雅黑" w:eastAsia="微软雅黑" w:hAnsi="微软雅黑" w:cs="微软雅黑" w:hint="eastAsia"/>
        </w:rPr>
        <w:t>（例如，通过率不符合学校要求，文本内容有问题，或该学生休学无法提交文本等原因）</w:t>
      </w:r>
      <w:r w:rsidR="00325190">
        <w:rPr>
          <w:rFonts w:ascii="微软雅黑" w:eastAsia="微软雅黑" w:hAnsi="微软雅黑" w:cs="微软雅黑" w:hint="eastAsia"/>
        </w:rPr>
        <w:t>无法授予学位，该学生</w:t>
      </w:r>
      <w:r w:rsidR="005B17E3">
        <w:rPr>
          <w:rFonts w:ascii="微软雅黑" w:eastAsia="微软雅黑" w:hAnsi="微软雅黑" w:cs="微软雅黑" w:hint="eastAsia"/>
        </w:rPr>
        <w:t>的文本不用提交至平台，</w:t>
      </w:r>
      <w:r w:rsidR="0081522E">
        <w:rPr>
          <w:rFonts w:ascii="微软雅黑" w:eastAsia="微软雅黑" w:hAnsi="微软雅黑" w:cs="微软雅黑" w:hint="eastAsia"/>
        </w:rPr>
        <w:t>不用进行学位设置，</w:t>
      </w:r>
      <w:r w:rsidR="005B17E3">
        <w:rPr>
          <w:rFonts w:ascii="微软雅黑" w:eastAsia="微软雅黑" w:hAnsi="微软雅黑" w:cs="微软雅黑" w:hint="eastAsia"/>
        </w:rPr>
        <w:t>待学生原因解决后，再提交，可跟随下一届的学生进行工作</w:t>
      </w:r>
      <w:r w:rsidR="0081522E">
        <w:rPr>
          <w:rFonts w:ascii="微软雅黑" w:eastAsia="微软雅黑" w:hAnsi="微软雅黑" w:cs="微软雅黑" w:hint="eastAsia"/>
        </w:rPr>
        <w:t>；如学生</w:t>
      </w:r>
      <w:r w:rsidR="0081522E">
        <w:rPr>
          <w:rFonts w:ascii="微软雅黑" w:eastAsia="微软雅黑" w:hAnsi="微软雅黑" w:cs="微软雅黑" w:hint="eastAsia"/>
        </w:rPr>
        <w:lastRenderedPageBreak/>
        <w:t>由于考试不及格或其他原因</w:t>
      </w:r>
      <w:r w:rsidR="0081522E">
        <w:rPr>
          <w:rFonts w:ascii="微软雅黑" w:eastAsia="微软雅黑" w:hAnsi="微软雅黑" w:cs="微软雅黑" w:hint="eastAsia"/>
        </w:rPr>
        <w:t>和文本本身无关</w:t>
      </w:r>
      <w:r w:rsidR="0081522E">
        <w:rPr>
          <w:rFonts w:ascii="微软雅黑" w:eastAsia="微软雅黑" w:hAnsi="微软雅黑" w:cs="微软雅黑" w:hint="eastAsia"/>
        </w:rPr>
        <w:t>，无法授予学位的情况，</w:t>
      </w:r>
      <w:r w:rsidR="0081522E">
        <w:rPr>
          <w:rFonts w:ascii="微软雅黑" w:eastAsia="微软雅黑" w:hAnsi="微软雅黑" w:cs="微软雅黑" w:hint="eastAsia"/>
        </w:rPr>
        <w:t>该学生的文本</w:t>
      </w:r>
      <w:r w:rsidR="0081522E">
        <w:rPr>
          <w:rFonts w:ascii="微软雅黑" w:eastAsia="微软雅黑" w:hAnsi="微软雅黑" w:cs="微软雅黑" w:hint="eastAsia"/>
        </w:rPr>
        <w:t>可提交至平台，待补考通过后，再补充学位设置即可。</w:t>
      </w:r>
      <w:bookmarkStart w:id="1" w:name="_GoBack"/>
      <w:bookmarkEnd w:id="1"/>
    </w:p>
    <w:p w14:paraId="2FC662EF" w14:textId="77777777" w:rsidR="005B17E3" w:rsidRPr="001720C8" w:rsidRDefault="005B17E3" w:rsidP="00325190">
      <w:pPr>
        <w:ind w:left="720" w:firstLineChars="200" w:firstLine="420"/>
        <w:rPr>
          <w:rFonts w:ascii="微软雅黑" w:eastAsia="微软雅黑" w:hAnsi="微软雅黑" w:cs="微软雅黑" w:hint="eastAsia"/>
        </w:rPr>
      </w:pPr>
    </w:p>
    <w:p w14:paraId="3FE98C96" w14:textId="77777777" w:rsidR="00C17D46" w:rsidRPr="00C17D46" w:rsidRDefault="00C17D46" w:rsidP="00C17D46">
      <w:pPr>
        <w:ind w:left="720"/>
        <w:rPr>
          <w:rFonts w:hint="eastAsia"/>
          <w:b/>
          <w:sz w:val="28"/>
          <w:szCs w:val="28"/>
        </w:rPr>
      </w:pPr>
    </w:p>
    <w:p w14:paraId="3D473B9F" w14:textId="77777777" w:rsidR="00C17D46" w:rsidRPr="0056270E" w:rsidRDefault="00C17D46" w:rsidP="00C17D46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65E7A867" w14:textId="77777777" w:rsidR="0056270E" w:rsidRPr="0056270E" w:rsidRDefault="0056270E" w:rsidP="00831E24">
      <w:pPr>
        <w:spacing w:line="360" w:lineRule="auto"/>
        <w:ind w:left="426" w:firstLineChars="140" w:firstLine="294"/>
        <w:rPr>
          <w:rFonts w:ascii="微软雅黑" w:eastAsia="微软雅黑" w:hAnsi="微软雅黑" w:cs="微软雅黑" w:hint="eastAsia"/>
          <w:b/>
          <w:color w:val="FF0000"/>
        </w:rPr>
      </w:pPr>
    </w:p>
    <w:p w14:paraId="7946254C" w14:textId="77777777" w:rsidR="00286855" w:rsidRPr="00395574" w:rsidRDefault="00286855" w:rsidP="00286855">
      <w:pPr>
        <w:ind w:left="720"/>
        <w:rPr>
          <w:rFonts w:hint="eastAsia"/>
          <w:b/>
          <w:sz w:val="28"/>
          <w:szCs w:val="28"/>
        </w:rPr>
      </w:pPr>
    </w:p>
    <w:p w14:paraId="2E0F9787" w14:textId="77777777" w:rsidR="000E3416" w:rsidRPr="00B24408" w:rsidRDefault="000E3416" w:rsidP="000E3416">
      <w:pPr>
        <w:ind w:left="720"/>
        <w:rPr>
          <w:rFonts w:hint="eastAsia"/>
          <w:b/>
          <w:sz w:val="28"/>
          <w:szCs w:val="28"/>
        </w:rPr>
      </w:pPr>
    </w:p>
    <w:p w14:paraId="7D92120D" w14:textId="014532D0" w:rsidR="008C281E" w:rsidRDefault="008C281E" w:rsidP="003807D1">
      <w:pPr>
        <w:ind w:left="360"/>
      </w:pPr>
    </w:p>
    <w:sectPr w:rsidR="008C281E" w:rsidSect="00B6191F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4886" w14:textId="77777777" w:rsidR="00C31CE2" w:rsidRDefault="00C31CE2" w:rsidP="000E3416">
      <w:r>
        <w:separator/>
      </w:r>
    </w:p>
  </w:endnote>
  <w:endnote w:type="continuationSeparator" w:id="0">
    <w:p w14:paraId="25584D33" w14:textId="77777777" w:rsidR="00C31CE2" w:rsidRDefault="00C31CE2" w:rsidP="000E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75EBA" w14:textId="77777777" w:rsidR="00C31CE2" w:rsidRDefault="00C31CE2" w:rsidP="000E3416">
      <w:r>
        <w:separator/>
      </w:r>
    </w:p>
  </w:footnote>
  <w:footnote w:type="continuationSeparator" w:id="0">
    <w:p w14:paraId="763CE1AF" w14:textId="77777777" w:rsidR="00C31CE2" w:rsidRDefault="00C31CE2" w:rsidP="000E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2566"/>
    <w:multiLevelType w:val="hybridMultilevel"/>
    <w:tmpl w:val="E35856F6"/>
    <w:lvl w:ilvl="0" w:tplc="56F8DA6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60E5AE4"/>
    <w:multiLevelType w:val="hybridMultilevel"/>
    <w:tmpl w:val="D446244C"/>
    <w:lvl w:ilvl="0" w:tplc="A440D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BE239D"/>
    <w:multiLevelType w:val="hybridMultilevel"/>
    <w:tmpl w:val="B170A958"/>
    <w:lvl w:ilvl="0" w:tplc="377AA4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363A5B"/>
    <w:multiLevelType w:val="hybridMultilevel"/>
    <w:tmpl w:val="E35856F6"/>
    <w:lvl w:ilvl="0" w:tplc="56F8DA6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7B66E31"/>
    <w:multiLevelType w:val="hybridMultilevel"/>
    <w:tmpl w:val="E35856F6"/>
    <w:lvl w:ilvl="0" w:tplc="56F8DA6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C8"/>
    <w:rsid w:val="00034766"/>
    <w:rsid w:val="000E3416"/>
    <w:rsid w:val="00106C0D"/>
    <w:rsid w:val="001401E5"/>
    <w:rsid w:val="001720C8"/>
    <w:rsid w:val="001E2C4B"/>
    <w:rsid w:val="00286855"/>
    <w:rsid w:val="002F3EBB"/>
    <w:rsid w:val="00325190"/>
    <w:rsid w:val="00344EC8"/>
    <w:rsid w:val="00362D7D"/>
    <w:rsid w:val="003807D1"/>
    <w:rsid w:val="00395574"/>
    <w:rsid w:val="003F61EF"/>
    <w:rsid w:val="004A75E7"/>
    <w:rsid w:val="0056270E"/>
    <w:rsid w:val="005B17E3"/>
    <w:rsid w:val="005C5B33"/>
    <w:rsid w:val="007B2961"/>
    <w:rsid w:val="007F5429"/>
    <w:rsid w:val="0081522E"/>
    <w:rsid w:val="008317FE"/>
    <w:rsid w:val="00831E24"/>
    <w:rsid w:val="008C281E"/>
    <w:rsid w:val="00A420EE"/>
    <w:rsid w:val="00B15D94"/>
    <w:rsid w:val="00B21F8E"/>
    <w:rsid w:val="00B24408"/>
    <w:rsid w:val="00B6191F"/>
    <w:rsid w:val="00BB3C74"/>
    <w:rsid w:val="00C01599"/>
    <w:rsid w:val="00C17D46"/>
    <w:rsid w:val="00C31CE2"/>
    <w:rsid w:val="00D352FB"/>
    <w:rsid w:val="00D60708"/>
    <w:rsid w:val="00EE5A17"/>
    <w:rsid w:val="00F6136B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FB422"/>
  <w15:chartTrackingRefBased/>
  <w15:docId w15:val="{953747FD-1045-48D9-9C58-F28A8506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4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yajun cheng</dc:creator>
  <cp:keywords/>
  <dc:description/>
  <cp:lastModifiedBy>yajun cheng</cp:lastModifiedBy>
  <cp:revision>36</cp:revision>
  <dcterms:created xsi:type="dcterms:W3CDTF">2019-05-10T03:24:00Z</dcterms:created>
  <dcterms:modified xsi:type="dcterms:W3CDTF">2019-05-12T09:30:00Z</dcterms:modified>
</cp:coreProperties>
</file>