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0C3" w:rsidRDefault="00C660C3" w:rsidP="00C660C3">
      <w:pPr>
        <w:snapToGrid w:val="0"/>
        <w:spacing w:line="600" w:lineRule="exact"/>
        <w:jc w:val="center"/>
        <w:rPr>
          <w:rFonts w:ascii="黑体" w:eastAsia="黑体"/>
          <w:sz w:val="32"/>
        </w:rPr>
      </w:pPr>
    </w:p>
    <w:p w:rsidR="00C660C3" w:rsidRDefault="00C660C3" w:rsidP="00C660C3">
      <w:pPr>
        <w:snapToGrid w:val="0"/>
        <w:spacing w:line="600" w:lineRule="exact"/>
        <w:jc w:val="center"/>
        <w:rPr>
          <w:rFonts w:ascii="方正小标宋_GBK" w:eastAsia="方正小标宋_GBK" w:hAnsi="华文中宋"/>
          <w:bCs/>
          <w:sz w:val="44"/>
          <w:szCs w:val="44"/>
        </w:rPr>
      </w:pPr>
      <w:r>
        <w:rPr>
          <w:rFonts w:ascii="方正小标宋_GBK" w:eastAsia="方正小标宋_GBK" w:hAnsi="华文中宋" w:hint="eastAsia"/>
          <w:bCs/>
          <w:sz w:val="44"/>
          <w:szCs w:val="44"/>
        </w:rPr>
        <w:t>河北省高等教育教学改革研究与实践项目申报汇总表</w:t>
      </w:r>
    </w:p>
    <w:p w:rsidR="00C660C3" w:rsidRDefault="00C660C3" w:rsidP="00C660C3">
      <w:pPr>
        <w:spacing w:line="300" w:lineRule="auto"/>
        <w:rPr>
          <w:rFonts w:ascii="仿宋_GB2312" w:eastAsia="仿宋_GB2312"/>
          <w:sz w:val="32"/>
        </w:rPr>
      </w:pPr>
      <w:r>
        <w:rPr>
          <w:rFonts w:ascii="仿宋_GB2312" w:eastAsia="仿宋_GB2312" w:hint="eastAsia"/>
          <w:sz w:val="32"/>
        </w:rPr>
        <w:t>申报单位（盖章）：</w:t>
      </w:r>
      <w:r w:rsidR="002D0972">
        <w:rPr>
          <w:rFonts w:ascii="仿宋_GB2312" w:eastAsia="仿宋_GB2312" w:hint="eastAsia"/>
          <w:sz w:val="32"/>
        </w:rPr>
        <w:t>河北大学</w:t>
      </w:r>
      <w:r>
        <w:rPr>
          <w:rFonts w:ascii="仿宋_GB2312" w:eastAsia="仿宋_GB2312" w:hint="eastAsia"/>
          <w:sz w:val="32"/>
        </w:rPr>
        <w:t xml:space="preserve">                              填表日期：    </w:t>
      </w:r>
      <w:r w:rsidR="002D0972">
        <w:rPr>
          <w:rFonts w:ascii="仿宋_GB2312" w:eastAsia="仿宋_GB2312" w:hint="eastAsia"/>
          <w:sz w:val="32"/>
        </w:rPr>
        <w:t>2016</w:t>
      </w:r>
      <w:r>
        <w:rPr>
          <w:rFonts w:ascii="仿宋_GB2312" w:eastAsia="仿宋_GB2312" w:hint="eastAsia"/>
          <w:sz w:val="32"/>
        </w:rPr>
        <w:t>年</w:t>
      </w:r>
      <w:r w:rsidR="002D0972">
        <w:rPr>
          <w:rFonts w:ascii="仿宋_GB2312" w:eastAsia="仿宋_GB2312" w:hint="eastAsia"/>
          <w:sz w:val="32"/>
        </w:rPr>
        <w:t>6</w:t>
      </w:r>
      <w:r>
        <w:rPr>
          <w:rFonts w:ascii="仿宋_GB2312" w:eastAsia="仿宋_GB2312" w:hint="eastAsia"/>
          <w:sz w:val="32"/>
        </w:rPr>
        <w:t>月</w:t>
      </w:r>
      <w:r w:rsidR="002D0972">
        <w:rPr>
          <w:rFonts w:ascii="仿宋_GB2312" w:eastAsia="仿宋_GB2312" w:hint="eastAsia"/>
          <w:sz w:val="32"/>
        </w:rPr>
        <w:t>21</w:t>
      </w:r>
      <w:r>
        <w:rPr>
          <w:rFonts w:ascii="仿宋_GB2312" w:eastAsia="仿宋_GB2312" w:hint="eastAsia"/>
          <w:sz w:val="32"/>
        </w:rPr>
        <w:t>日</w:t>
      </w:r>
    </w:p>
    <w:tbl>
      <w:tblPr>
        <w:tblW w:w="14340" w:type="dxa"/>
        <w:tblInd w:w="97" w:type="dxa"/>
        <w:tblLook w:val="04A0"/>
      </w:tblPr>
      <w:tblGrid>
        <w:gridCol w:w="862"/>
        <w:gridCol w:w="4536"/>
        <w:gridCol w:w="1134"/>
        <w:gridCol w:w="4819"/>
        <w:gridCol w:w="1972"/>
        <w:gridCol w:w="1017"/>
      </w:tblGrid>
      <w:tr w:rsidR="00C660C3" w:rsidRPr="00C660C3" w:rsidTr="00C660C3">
        <w:trPr>
          <w:trHeight w:val="936"/>
        </w:trPr>
        <w:tc>
          <w:tcPr>
            <w:tcW w:w="862" w:type="dxa"/>
            <w:tcBorders>
              <w:top w:val="single" w:sz="4" w:space="0" w:color="auto"/>
              <w:left w:val="single" w:sz="4" w:space="0" w:color="auto"/>
              <w:bottom w:val="nil"/>
              <w:right w:val="single" w:sz="4" w:space="0" w:color="auto"/>
            </w:tcBorders>
            <w:shd w:val="clear" w:color="auto" w:fill="auto"/>
            <w:vAlign w:val="center"/>
            <w:hideMark/>
          </w:tcPr>
          <w:p w:rsidR="00C660C3" w:rsidRPr="00C660C3" w:rsidRDefault="00C660C3" w:rsidP="00C660C3">
            <w:pPr>
              <w:widowControl/>
              <w:jc w:val="center"/>
              <w:rPr>
                <w:rFonts w:ascii="黑体" w:eastAsia="黑体" w:hAnsi="黑体" w:cs="宋体"/>
                <w:color w:val="000000"/>
                <w:kern w:val="0"/>
                <w:sz w:val="28"/>
                <w:szCs w:val="28"/>
              </w:rPr>
            </w:pPr>
            <w:r w:rsidRPr="00C660C3">
              <w:rPr>
                <w:rFonts w:ascii="黑体" w:eastAsia="黑体" w:hAnsi="黑体" w:cs="宋体" w:hint="eastAsia"/>
                <w:color w:val="000000"/>
                <w:kern w:val="0"/>
                <w:sz w:val="28"/>
                <w:szCs w:val="28"/>
              </w:rPr>
              <w:t>序号</w:t>
            </w:r>
          </w:p>
        </w:tc>
        <w:tc>
          <w:tcPr>
            <w:tcW w:w="4536" w:type="dxa"/>
            <w:tcBorders>
              <w:top w:val="single" w:sz="4" w:space="0" w:color="auto"/>
              <w:left w:val="nil"/>
              <w:bottom w:val="nil"/>
              <w:right w:val="single" w:sz="4" w:space="0" w:color="auto"/>
            </w:tcBorders>
            <w:shd w:val="clear" w:color="auto" w:fill="auto"/>
            <w:vAlign w:val="center"/>
            <w:hideMark/>
          </w:tcPr>
          <w:p w:rsidR="00C660C3" w:rsidRPr="00C660C3" w:rsidRDefault="00C660C3" w:rsidP="00C660C3">
            <w:pPr>
              <w:widowControl/>
              <w:jc w:val="center"/>
              <w:rPr>
                <w:rFonts w:ascii="黑体" w:eastAsia="黑体" w:hAnsi="黑体" w:cs="宋体"/>
                <w:color w:val="000000"/>
                <w:kern w:val="0"/>
                <w:sz w:val="28"/>
                <w:szCs w:val="28"/>
              </w:rPr>
            </w:pPr>
            <w:r w:rsidRPr="00C660C3">
              <w:rPr>
                <w:rFonts w:ascii="黑体" w:eastAsia="黑体" w:hAnsi="黑体" w:cs="宋体" w:hint="eastAsia"/>
                <w:color w:val="000000"/>
                <w:kern w:val="0"/>
                <w:sz w:val="28"/>
                <w:szCs w:val="28"/>
              </w:rPr>
              <w:t>项目名称</w:t>
            </w:r>
          </w:p>
        </w:tc>
        <w:tc>
          <w:tcPr>
            <w:tcW w:w="1134" w:type="dxa"/>
            <w:tcBorders>
              <w:top w:val="single" w:sz="4" w:space="0" w:color="auto"/>
              <w:left w:val="nil"/>
              <w:bottom w:val="nil"/>
              <w:right w:val="single" w:sz="4" w:space="0" w:color="auto"/>
            </w:tcBorders>
            <w:shd w:val="clear" w:color="auto" w:fill="auto"/>
            <w:vAlign w:val="center"/>
            <w:hideMark/>
          </w:tcPr>
          <w:p w:rsidR="00C660C3" w:rsidRPr="00C660C3" w:rsidRDefault="00C660C3" w:rsidP="00C660C3">
            <w:pPr>
              <w:widowControl/>
              <w:jc w:val="center"/>
              <w:rPr>
                <w:rFonts w:ascii="黑体" w:eastAsia="黑体" w:hAnsi="黑体" w:cs="宋体"/>
                <w:color w:val="000000"/>
                <w:kern w:val="0"/>
                <w:sz w:val="28"/>
                <w:szCs w:val="28"/>
              </w:rPr>
            </w:pPr>
            <w:r w:rsidRPr="00C660C3">
              <w:rPr>
                <w:rFonts w:ascii="黑体" w:eastAsia="黑体" w:hAnsi="黑体" w:cs="宋体" w:hint="eastAsia"/>
                <w:color w:val="000000"/>
                <w:kern w:val="0"/>
                <w:sz w:val="28"/>
                <w:szCs w:val="28"/>
              </w:rPr>
              <w:t>主持人</w:t>
            </w:r>
          </w:p>
        </w:tc>
        <w:tc>
          <w:tcPr>
            <w:tcW w:w="4819" w:type="dxa"/>
            <w:tcBorders>
              <w:top w:val="single" w:sz="4" w:space="0" w:color="auto"/>
              <w:left w:val="nil"/>
              <w:bottom w:val="nil"/>
              <w:right w:val="single" w:sz="4" w:space="0" w:color="auto"/>
            </w:tcBorders>
            <w:shd w:val="clear" w:color="auto" w:fill="auto"/>
            <w:vAlign w:val="center"/>
            <w:hideMark/>
          </w:tcPr>
          <w:p w:rsidR="00C660C3" w:rsidRPr="00C660C3" w:rsidRDefault="00C660C3" w:rsidP="00C660C3">
            <w:pPr>
              <w:widowControl/>
              <w:jc w:val="center"/>
              <w:rPr>
                <w:rFonts w:ascii="黑体" w:eastAsia="黑体" w:hAnsi="黑体" w:cs="宋体"/>
                <w:color w:val="000000"/>
                <w:kern w:val="0"/>
                <w:sz w:val="28"/>
                <w:szCs w:val="28"/>
              </w:rPr>
            </w:pPr>
            <w:r w:rsidRPr="00C660C3">
              <w:rPr>
                <w:rFonts w:ascii="黑体" w:eastAsia="黑体" w:hAnsi="黑体" w:cs="宋体" w:hint="eastAsia"/>
                <w:color w:val="000000"/>
                <w:kern w:val="0"/>
                <w:sz w:val="28"/>
                <w:szCs w:val="28"/>
              </w:rPr>
              <w:t>项目组成员</w:t>
            </w:r>
          </w:p>
        </w:tc>
        <w:tc>
          <w:tcPr>
            <w:tcW w:w="1972" w:type="dxa"/>
            <w:tcBorders>
              <w:top w:val="single" w:sz="4" w:space="0" w:color="auto"/>
              <w:left w:val="nil"/>
              <w:bottom w:val="single" w:sz="4" w:space="0" w:color="auto"/>
              <w:right w:val="nil"/>
            </w:tcBorders>
            <w:shd w:val="clear" w:color="auto" w:fill="auto"/>
            <w:vAlign w:val="center"/>
            <w:hideMark/>
          </w:tcPr>
          <w:p w:rsidR="00C660C3" w:rsidRPr="00C660C3" w:rsidRDefault="00C660C3" w:rsidP="00C660C3">
            <w:pPr>
              <w:widowControl/>
              <w:jc w:val="center"/>
              <w:rPr>
                <w:rFonts w:ascii="黑体" w:eastAsia="黑体" w:hAnsi="黑体" w:cs="宋体"/>
                <w:color w:val="000000"/>
                <w:kern w:val="0"/>
                <w:sz w:val="24"/>
                <w:szCs w:val="24"/>
              </w:rPr>
            </w:pPr>
            <w:r w:rsidRPr="00C660C3">
              <w:rPr>
                <w:rFonts w:ascii="黑体" w:eastAsia="黑体" w:hAnsi="黑体" w:cs="宋体" w:hint="eastAsia"/>
                <w:color w:val="000000"/>
                <w:kern w:val="0"/>
                <w:sz w:val="24"/>
                <w:szCs w:val="24"/>
              </w:rPr>
              <w:t>研究范围</w:t>
            </w:r>
            <w:r>
              <w:rPr>
                <w:rFonts w:ascii="黑体" w:eastAsia="黑体" w:hAnsi="黑体" w:cs="宋体" w:hint="eastAsia"/>
                <w:color w:val="000000"/>
                <w:kern w:val="0"/>
                <w:sz w:val="24"/>
                <w:szCs w:val="24"/>
              </w:rPr>
              <w:t xml:space="preserve">    </w:t>
            </w:r>
            <w:r w:rsidRPr="00C660C3">
              <w:rPr>
                <w:rFonts w:ascii="黑体" w:eastAsia="黑体" w:hAnsi="黑体" w:cs="宋体" w:hint="eastAsia"/>
                <w:color w:val="000000"/>
                <w:kern w:val="0"/>
                <w:sz w:val="24"/>
                <w:szCs w:val="24"/>
              </w:rPr>
              <w:t>（本科、成人高等教育、其它）</w:t>
            </w:r>
          </w:p>
        </w:tc>
        <w:tc>
          <w:tcPr>
            <w:tcW w:w="1017" w:type="dxa"/>
            <w:tcBorders>
              <w:top w:val="single" w:sz="4" w:space="0" w:color="auto"/>
              <w:left w:val="single" w:sz="4" w:space="0" w:color="auto"/>
              <w:bottom w:val="nil"/>
              <w:right w:val="single" w:sz="4" w:space="0" w:color="auto"/>
            </w:tcBorders>
            <w:shd w:val="clear" w:color="auto" w:fill="auto"/>
            <w:vAlign w:val="center"/>
            <w:hideMark/>
          </w:tcPr>
          <w:p w:rsidR="00C660C3" w:rsidRPr="00C660C3" w:rsidRDefault="00C660C3" w:rsidP="00C660C3">
            <w:pPr>
              <w:widowControl/>
              <w:jc w:val="center"/>
              <w:rPr>
                <w:rFonts w:ascii="黑体" w:eastAsia="黑体" w:hAnsi="黑体" w:cs="宋体"/>
                <w:color w:val="000000"/>
                <w:kern w:val="0"/>
                <w:sz w:val="28"/>
                <w:szCs w:val="28"/>
              </w:rPr>
            </w:pPr>
            <w:r w:rsidRPr="00C660C3">
              <w:rPr>
                <w:rFonts w:ascii="黑体" w:eastAsia="黑体" w:hAnsi="黑体" w:cs="宋体" w:hint="eastAsia"/>
                <w:color w:val="000000"/>
                <w:kern w:val="0"/>
                <w:sz w:val="28"/>
                <w:szCs w:val="28"/>
              </w:rPr>
              <w:t>备注</w:t>
            </w:r>
          </w:p>
        </w:tc>
      </w:tr>
      <w:tr w:rsidR="00C660C3" w:rsidRPr="00C660C3" w:rsidTr="00C660C3">
        <w:trPr>
          <w:trHeight w:val="816"/>
        </w:trPr>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河北省“三项制度”工作问题研究与优化</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梅玉明</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李海洋、李东霞、孙洪溥、甘恒志、马玉娟、张爱梅、厉志红</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本科</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 xml:space="preserve">　</w:t>
            </w:r>
          </w:p>
        </w:tc>
      </w:tr>
      <w:tr w:rsidR="00C660C3" w:rsidRPr="00C660C3" w:rsidTr="00C660C3">
        <w:trPr>
          <w:trHeight w:val="78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2</w:t>
            </w:r>
          </w:p>
        </w:tc>
        <w:tc>
          <w:tcPr>
            <w:tcW w:w="4536"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省属综合性大学一流本科教育建设标准与实现路径研究</w:t>
            </w:r>
          </w:p>
        </w:tc>
        <w:tc>
          <w:tcPr>
            <w:tcW w:w="1134"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杨学新</w:t>
            </w:r>
          </w:p>
        </w:tc>
        <w:tc>
          <w:tcPr>
            <w:tcW w:w="4819"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王英龙、李小六、孙学军、厉志红</w:t>
            </w:r>
          </w:p>
        </w:tc>
        <w:tc>
          <w:tcPr>
            <w:tcW w:w="1972"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本科</w:t>
            </w:r>
          </w:p>
        </w:tc>
        <w:tc>
          <w:tcPr>
            <w:tcW w:w="1017"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 xml:space="preserve">　</w:t>
            </w:r>
          </w:p>
        </w:tc>
      </w:tr>
      <w:tr w:rsidR="00C660C3" w:rsidRPr="00C660C3" w:rsidTr="00C660C3">
        <w:trPr>
          <w:trHeight w:val="76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3</w:t>
            </w:r>
          </w:p>
        </w:tc>
        <w:tc>
          <w:tcPr>
            <w:tcW w:w="4536"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京津冀协同发展战略下，校企协同培养创新创业人才模式研究</w:t>
            </w:r>
          </w:p>
        </w:tc>
        <w:tc>
          <w:tcPr>
            <w:tcW w:w="1134"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王培光</w:t>
            </w:r>
          </w:p>
        </w:tc>
        <w:tc>
          <w:tcPr>
            <w:tcW w:w="4819"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刘焱、许文杰、王军超、张亚靖、张倩、李星莹</w:t>
            </w:r>
          </w:p>
        </w:tc>
        <w:tc>
          <w:tcPr>
            <w:tcW w:w="1972"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本科</w:t>
            </w:r>
          </w:p>
        </w:tc>
        <w:tc>
          <w:tcPr>
            <w:tcW w:w="1017"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 xml:space="preserve">　</w:t>
            </w:r>
          </w:p>
        </w:tc>
      </w:tr>
      <w:tr w:rsidR="00C660C3" w:rsidRPr="00C660C3" w:rsidTr="00C660C3">
        <w:trPr>
          <w:trHeight w:val="696"/>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4</w:t>
            </w:r>
          </w:p>
        </w:tc>
        <w:tc>
          <w:tcPr>
            <w:tcW w:w="4536"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以微电影创新思政课融通教学模式的理论与实践研究</w:t>
            </w:r>
          </w:p>
        </w:tc>
        <w:tc>
          <w:tcPr>
            <w:tcW w:w="1134"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柴素芳</w:t>
            </w:r>
          </w:p>
        </w:tc>
        <w:tc>
          <w:tcPr>
            <w:tcW w:w="4819"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沙占华、郑立柱、陈剑敏、王海、任娟玲</w:t>
            </w:r>
          </w:p>
        </w:tc>
        <w:tc>
          <w:tcPr>
            <w:tcW w:w="1972"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本科</w:t>
            </w:r>
          </w:p>
        </w:tc>
        <w:tc>
          <w:tcPr>
            <w:tcW w:w="1017"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 xml:space="preserve">　</w:t>
            </w:r>
          </w:p>
        </w:tc>
      </w:tr>
      <w:tr w:rsidR="00C660C3" w:rsidRPr="00C660C3" w:rsidTr="00C660C3">
        <w:trPr>
          <w:trHeight w:val="768"/>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5</w:t>
            </w:r>
          </w:p>
        </w:tc>
        <w:tc>
          <w:tcPr>
            <w:tcW w:w="4536"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面向创新创业人才培养的“大学计算机”教学内容与教学模式改革研究与实践</w:t>
            </w:r>
          </w:p>
        </w:tc>
        <w:tc>
          <w:tcPr>
            <w:tcW w:w="1134"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袁方</w:t>
            </w:r>
          </w:p>
        </w:tc>
        <w:tc>
          <w:tcPr>
            <w:tcW w:w="4819"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肖胜刚、邓娜、尹胜彬、安海宁、李海峰、刘铁英</w:t>
            </w:r>
          </w:p>
        </w:tc>
        <w:tc>
          <w:tcPr>
            <w:tcW w:w="1972"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本科</w:t>
            </w:r>
          </w:p>
        </w:tc>
        <w:tc>
          <w:tcPr>
            <w:tcW w:w="1017"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 xml:space="preserve">　</w:t>
            </w:r>
          </w:p>
        </w:tc>
      </w:tr>
      <w:tr w:rsidR="00C660C3" w:rsidRPr="00C660C3" w:rsidTr="00C660C3">
        <w:trPr>
          <w:trHeight w:val="996"/>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6</w:t>
            </w:r>
          </w:p>
        </w:tc>
        <w:tc>
          <w:tcPr>
            <w:tcW w:w="4536"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PBL和TBL教学联合应用在临床医学教学实践中的研究</w:t>
            </w:r>
          </w:p>
        </w:tc>
        <w:tc>
          <w:tcPr>
            <w:tcW w:w="1134"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张春舫</w:t>
            </w:r>
          </w:p>
        </w:tc>
        <w:tc>
          <w:tcPr>
            <w:tcW w:w="4819"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梁璐、薛华、陈涛平、杨昆、周金娜、王冀伟、张涛、王建国、李晓芳、杨红、高燕、柏金秀</w:t>
            </w:r>
          </w:p>
        </w:tc>
        <w:tc>
          <w:tcPr>
            <w:tcW w:w="1972"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本科</w:t>
            </w:r>
          </w:p>
        </w:tc>
        <w:tc>
          <w:tcPr>
            <w:tcW w:w="1017"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 xml:space="preserve">　</w:t>
            </w:r>
          </w:p>
        </w:tc>
      </w:tr>
      <w:tr w:rsidR="00C660C3" w:rsidRPr="00C660C3" w:rsidTr="00C97DAC">
        <w:trPr>
          <w:trHeight w:val="76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7</w:t>
            </w:r>
          </w:p>
        </w:tc>
        <w:tc>
          <w:tcPr>
            <w:tcW w:w="4536"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医学生人文关怀与创新能力培养——探索阶段性养老机构实践教学模式</w:t>
            </w:r>
          </w:p>
        </w:tc>
        <w:tc>
          <w:tcPr>
            <w:tcW w:w="1134"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王彦</w:t>
            </w:r>
          </w:p>
        </w:tc>
        <w:tc>
          <w:tcPr>
            <w:tcW w:w="4819"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徐月清、杜少英、井坤娟、谢秀君、任海静、杜小静、石潇洋</w:t>
            </w:r>
          </w:p>
        </w:tc>
        <w:tc>
          <w:tcPr>
            <w:tcW w:w="1972"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本科</w:t>
            </w:r>
          </w:p>
        </w:tc>
        <w:tc>
          <w:tcPr>
            <w:tcW w:w="1017"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 xml:space="preserve">　</w:t>
            </w:r>
          </w:p>
        </w:tc>
      </w:tr>
      <w:tr w:rsidR="00C660C3" w:rsidRPr="00C660C3" w:rsidTr="00C97DAC">
        <w:trPr>
          <w:trHeight w:val="600"/>
        </w:trPr>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8</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“史学”致用人才互动培养模式研究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李维意</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衣长春、吕志茹、郭晓勇、肖红松、范铁权、徐兰英、王峥</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本科</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 xml:space="preserve">　</w:t>
            </w:r>
          </w:p>
        </w:tc>
      </w:tr>
      <w:tr w:rsidR="00C660C3" w:rsidRPr="00C660C3" w:rsidTr="00C97DAC">
        <w:trPr>
          <w:trHeight w:val="1020"/>
        </w:trPr>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lastRenderedPageBreak/>
              <w:t>9</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大数据时代提升经济类本科生数量分析能力与实践能力研究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朱长存</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王释云、田雅娟、</w:t>
            </w:r>
            <w:r w:rsidR="00FE06DF">
              <w:rPr>
                <w:rFonts w:ascii="宋体" w:hAnsi="宋体" w:cs="宋体" w:hint="eastAsia"/>
                <w:color w:val="000000"/>
                <w:kern w:val="0"/>
                <w:sz w:val="24"/>
                <w:szCs w:val="24"/>
              </w:rPr>
              <w:t>刘洋</w:t>
            </w:r>
            <w:r w:rsidRPr="00C660C3">
              <w:rPr>
                <w:rFonts w:ascii="宋体" w:hAnsi="宋体" w:cs="宋体" w:hint="eastAsia"/>
                <w:color w:val="000000"/>
                <w:kern w:val="0"/>
                <w:sz w:val="24"/>
                <w:szCs w:val="24"/>
              </w:rPr>
              <w:t>、郭迎春、王金营、尹成远、金剑、白云超、刘倩、王丽民、</w:t>
            </w:r>
            <w:r w:rsidR="00FE06DF">
              <w:rPr>
                <w:rFonts w:ascii="宋体" w:hAnsi="宋体" w:cs="宋体" w:hint="eastAsia"/>
                <w:color w:val="000000"/>
                <w:kern w:val="0"/>
                <w:sz w:val="24"/>
                <w:szCs w:val="24"/>
              </w:rPr>
              <w:t>户艳领、</w:t>
            </w:r>
            <w:r w:rsidRPr="00C660C3">
              <w:rPr>
                <w:rFonts w:ascii="宋体" w:hAnsi="宋体" w:cs="宋体" w:hint="eastAsia"/>
                <w:color w:val="000000"/>
                <w:kern w:val="0"/>
                <w:sz w:val="24"/>
                <w:szCs w:val="24"/>
              </w:rPr>
              <w:t>丁颖辉、马敬芝</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本科</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 xml:space="preserve">　</w:t>
            </w:r>
          </w:p>
        </w:tc>
      </w:tr>
      <w:tr w:rsidR="00C660C3" w:rsidRPr="00C660C3" w:rsidTr="00C660C3">
        <w:trPr>
          <w:trHeight w:val="768"/>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10</w:t>
            </w:r>
          </w:p>
        </w:tc>
        <w:tc>
          <w:tcPr>
            <w:tcW w:w="4536"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六院校学前教育本科专业协同综合改革研究</w:t>
            </w:r>
          </w:p>
        </w:tc>
        <w:tc>
          <w:tcPr>
            <w:tcW w:w="1134"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田宝军</w:t>
            </w:r>
          </w:p>
        </w:tc>
        <w:tc>
          <w:tcPr>
            <w:tcW w:w="4819"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范明丽、王艳玲、苟增强、李玉侠、李玉峰、孔丽云</w:t>
            </w:r>
          </w:p>
        </w:tc>
        <w:tc>
          <w:tcPr>
            <w:tcW w:w="1972"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本科</w:t>
            </w:r>
          </w:p>
        </w:tc>
        <w:tc>
          <w:tcPr>
            <w:tcW w:w="1017"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 xml:space="preserve">　</w:t>
            </w:r>
          </w:p>
        </w:tc>
      </w:tr>
      <w:tr w:rsidR="00C660C3" w:rsidRPr="00C660C3" w:rsidTr="00C660C3">
        <w:trPr>
          <w:trHeight w:val="78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11</w:t>
            </w:r>
          </w:p>
        </w:tc>
        <w:tc>
          <w:tcPr>
            <w:tcW w:w="4536"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河北省高等院校本科生逻辑思维与创新能力培养模式研究</w:t>
            </w:r>
          </w:p>
        </w:tc>
        <w:tc>
          <w:tcPr>
            <w:tcW w:w="1134"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张燕京</w:t>
            </w:r>
          </w:p>
        </w:tc>
        <w:tc>
          <w:tcPr>
            <w:tcW w:w="4819"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 xml:space="preserve">赵贤、刘建平、赵俊青、张小燕、郑小霞、向慧 </w:t>
            </w:r>
          </w:p>
        </w:tc>
        <w:tc>
          <w:tcPr>
            <w:tcW w:w="1972"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本科</w:t>
            </w:r>
          </w:p>
        </w:tc>
        <w:tc>
          <w:tcPr>
            <w:tcW w:w="1017"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 xml:space="preserve">　</w:t>
            </w:r>
          </w:p>
        </w:tc>
      </w:tr>
      <w:tr w:rsidR="00C660C3" w:rsidRPr="00C660C3" w:rsidTr="00C660C3">
        <w:trPr>
          <w:trHeight w:val="73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12</w:t>
            </w:r>
          </w:p>
        </w:tc>
        <w:tc>
          <w:tcPr>
            <w:tcW w:w="4536"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以培养数学素质和创新能力为核心的数学建模教学体系的构建与实现</w:t>
            </w:r>
          </w:p>
        </w:tc>
        <w:tc>
          <w:tcPr>
            <w:tcW w:w="1134"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花强</w:t>
            </w:r>
          </w:p>
        </w:tc>
        <w:tc>
          <w:tcPr>
            <w:tcW w:w="4819"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张峰、董春茹、孟宪礼、何莉辉</w:t>
            </w:r>
          </w:p>
        </w:tc>
        <w:tc>
          <w:tcPr>
            <w:tcW w:w="1972"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本科</w:t>
            </w:r>
          </w:p>
        </w:tc>
        <w:tc>
          <w:tcPr>
            <w:tcW w:w="1017"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 xml:space="preserve">　</w:t>
            </w:r>
          </w:p>
        </w:tc>
      </w:tr>
      <w:tr w:rsidR="00C660C3" w:rsidRPr="00C660C3" w:rsidTr="00C660C3">
        <w:trPr>
          <w:trHeight w:val="87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13</w:t>
            </w:r>
          </w:p>
        </w:tc>
        <w:tc>
          <w:tcPr>
            <w:tcW w:w="4536"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信息化环境下跨平台虚拟实验平台建设与研究</w:t>
            </w:r>
          </w:p>
        </w:tc>
        <w:tc>
          <w:tcPr>
            <w:tcW w:w="1134"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李盼来</w:t>
            </w:r>
          </w:p>
        </w:tc>
        <w:tc>
          <w:tcPr>
            <w:tcW w:w="4819"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冉俊霞、杨景发、郝晓辉、葛大勇、郭建新、洪晓钟、李慧玲、贾鹏英</w:t>
            </w:r>
          </w:p>
        </w:tc>
        <w:tc>
          <w:tcPr>
            <w:tcW w:w="1972"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本科</w:t>
            </w:r>
          </w:p>
        </w:tc>
        <w:tc>
          <w:tcPr>
            <w:tcW w:w="1017"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 xml:space="preserve">　</w:t>
            </w:r>
          </w:p>
        </w:tc>
      </w:tr>
      <w:tr w:rsidR="00C660C3" w:rsidRPr="00C660C3" w:rsidTr="00C660C3">
        <w:trPr>
          <w:trHeight w:val="1462"/>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14</w:t>
            </w:r>
          </w:p>
        </w:tc>
        <w:tc>
          <w:tcPr>
            <w:tcW w:w="4536"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多平台协同驱动的化学“双创”人才培养模式的研究与实践</w:t>
            </w:r>
          </w:p>
        </w:tc>
        <w:tc>
          <w:tcPr>
            <w:tcW w:w="1134"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r w:rsidRPr="00C660C3">
              <w:rPr>
                <w:rFonts w:ascii="宋体" w:hAnsi="宋体" w:cs="宋体" w:hint="eastAsia"/>
                <w:color w:val="000000"/>
                <w:kern w:val="0"/>
                <w:sz w:val="24"/>
                <w:szCs w:val="24"/>
              </w:rPr>
              <w:t>白国义</w:t>
            </w:r>
          </w:p>
        </w:tc>
        <w:tc>
          <w:tcPr>
            <w:tcW w:w="4819"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李娜、张红医、吕树芳、刘磊、徐建中、马德生、单金缓、齐子玉、邓奎林、闰明涛、李立军、梁淑轩、白利斌、马刚、焦运红、牛立博、王艳素、刘微、王超、靳明</w:t>
            </w:r>
          </w:p>
        </w:tc>
        <w:tc>
          <w:tcPr>
            <w:tcW w:w="1972"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本科</w:t>
            </w:r>
          </w:p>
        </w:tc>
        <w:tc>
          <w:tcPr>
            <w:tcW w:w="1017"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 xml:space="preserve">　</w:t>
            </w:r>
          </w:p>
        </w:tc>
      </w:tr>
      <w:tr w:rsidR="00C660C3" w:rsidRPr="00C660C3" w:rsidTr="00C660C3">
        <w:trPr>
          <w:trHeight w:val="81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15</w:t>
            </w:r>
          </w:p>
        </w:tc>
        <w:tc>
          <w:tcPr>
            <w:tcW w:w="4536"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京津冀协同发展导向下基于创新创业训练计划的大学生创新实践能力研究</w:t>
            </w:r>
          </w:p>
        </w:tc>
        <w:tc>
          <w:tcPr>
            <w:tcW w:w="1134"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董小平</w:t>
            </w:r>
          </w:p>
        </w:tc>
        <w:tc>
          <w:tcPr>
            <w:tcW w:w="4819"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庞艳荣、杨丽颖、马潇颖、周伟</w:t>
            </w:r>
          </w:p>
        </w:tc>
        <w:tc>
          <w:tcPr>
            <w:tcW w:w="1972"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本科</w:t>
            </w:r>
          </w:p>
        </w:tc>
        <w:tc>
          <w:tcPr>
            <w:tcW w:w="1017"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 xml:space="preserve">　</w:t>
            </w:r>
          </w:p>
        </w:tc>
      </w:tr>
      <w:tr w:rsidR="00C660C3" w:rsidRPr="00C660C3" w:rsidTr="00C660C3">
        <w:trPr>
          <w:trHeight w:val="732"/>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16</w:t>
            </w:r>
          </w:p>
        </w:tc>
        <w:tc>
          <w:tcPr>
            <w:tcW w:w="4536" w:type="dxa"/>
            <w:tcBorders>
              <w:top w:val="nil"/>
              <w:left w:val="nil"/>
              <w:bottom w:val="single" w:sz="4" w:space="0" w:color="auto"/>
              <w:right w:val="single" w:sz="4" w:space="0" w:color="auto"/>
            </w:tcBorders>
            <w:shd w:val="clear" w:color="auto" w:fill="auto"/>
            <w:noWrap/>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聚力多元主体协同，挖掘综合性内涵，培养跨学科复合型创新人才</w:t>
            </w:r>
          </w:p>
        </w:tc>
        <w:tc>
          <w:tcPr>
            <w:tcW w:w="1134" w:type="dxa"/>
            <w:tcBorders>
              <w:top w:val="nil"/>
              <w:left w:val="nil"/>
              <w:bottom w:val="single" w:sz="4" w:space="0" w:color="auto"/>
              <w:right w:val="single" w:sz="4" w:space="0" w:color="auto"/>
            </w:tcBorders>
            <w:shd w:val="clear" w:color="auto" w:fill="auto"/>
            <w:noWrap/>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宗晓萍</w:t>
            </w:r>
          </w:p>
        </w:tc>
        <w:tc>
          <w:tcPr>
            <w:tcW w:w="4819"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left"/>
              <w:rPr>
                <w:rFonts w:ascii="宋体" w:hAnsi="宋体" w:cs="宋体"/>
                <w:color w:val="000000"/>
                <w:kern w:val="0"/>
                <w:sz w:val="24"/>
                <w:szCs w:val="24"/>
              </w:rPr>
            </w:pPr>
            <w:r w:rsidRPr="00C660C3">
              <w:rPr>
                <w:rFonts w:ascii="宋体" w:hAnsi="宋体" w:cs="宋体" w:hint="eastAsia"/>
                <w:color w:val="000000"/>
                <w:kern w:val="0"/>
                <w:sz w:val="24"/>
                <w:szCs w:val="24"/>
              </w:rPr>
              <w:t xml:space="preserve">董方旭、魏艳红、庞洪伟、王谦、顾虹、褚立志、杨磊       </w:t>
            </w:r>
          </w:p>
        </w:tc>
        <w:tc>
          <w:tcPr>
            <w:tcW w:w="1972" w:type="dxa"/>
            <w:tcBorders>
              <w:top w:val="nil"/>
              <w:left w:val="nil"/>
              <w:bottom w:val="single" w:sz="4" w:space="0" w:color="auto"/>
              <w:right w:val="single" w:sz="4" w:space="0" w:color="auto"/>
            </w:tcBorders>
            <w:shd w:val="clear" w:color="auto" w:fill="auto"/>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本科</w:t>
            </w:r>
          </w:p>
        </w:tc>
        <w:tc>
          <w:tcPr>
            <w:tcW w:w="1017" w:type="dxa"/>
            <w:tcBorders>
              <w:top w:val="nil"/>
              <w:left w:val="nil"/>
              <w:bottom w:val="single" w:sz="4" w:space="0" w:color="auto"/>
              <w:right w:val="single" w:sz="4" w:space="0" w:color="auto"/>
            </w:tcBorders>
            <w:shd w:val="clear" w:color="auto" w:fill="auto"/>
            <w:noWrap/>
            <w:vAlign w:val="center"/>
            <w:hideMark/>
          </w:tcPr>
          <w:p w:rsidR="00C660C3" w:rsidRPr="00C660C3" w:rsidRDefault="00C660C3" w:rsidP="00C660C3">
            <w:pPr>
              <w:widowControl/>
              <w:jc w:val="center"/>
              <w:rPr>
                <w:rFonts w:ascii="宋体" w:hAnsi="宋体" w:cs="宋体"/>
                <w:color w:val="000000"/>
                <w:kern w:val="0"/>
                <w:sz w:val="24"/>
                <w:szCs w:val="24"/>
              </w:rPr>
            </w:pPr>
            <w:r w:rsidRPr="00C660C3">
              <w:rPr>
                <w:rFonts w:ascii="宋体" w:hAnsi="宋体" w:cs="宋体" w:hint="eastAsia"/>
                <w:color w:val="000000"/>
                <w:kern w:val="0"/>
                <w:sz w:val="24"/>
                <w:szCs w:val="24"/>
              </w:rPr>
              <w:t xml:space="preserve">　</w:t>
            </w:r>
          </w:p>
        </w:tc>
      </w:tr>
    </w:tbl>
    <w:p w:rsidR="00F134AB" w:rsidRDefault="00F134AB"/>
    <w:p w:rsidR="00C660C3" w:rsidRPr="00C660C3" w:rsidRDefault="00C660C3">
      <w:pPr>
        <w:rPr>
          <w:rFonts w:ascii="仿宋_GB2312" w:eastAsia="仿宋_GB2312"/>
          <w:sz w:val="32"/>
        </w:rPr>
      </w:pPr>
      <w:r w:rsidRPr="00C660C3">
        <w:rPr>
          <w:rFonts w:ascii="仿宋_GB2312" w:eastAsia="仿宋_GB2312" w:hint="eastAsia"/>
          <w:sz w:val="32"/>
        </w:rPr>
        <w:t>联系人</w:t>
      </w:r>
      <w:r>
        <w:rPr>
          <w:rFonts w:ascii="仿宋_GB2312" w:eastAsia="仿宋_GB2312" w:hint="eastAsia"/>
          <w:sz w:val="32"/>
        </w:rPr>
        <w:t>：于泽   负责部门：教务处  联系电话：0312-5079395  电子邮箱：jsfz@hbu.edu.cn</w:t>
      </w:r>
    </w:p>
    <w:sectPr w:rsidR="00C660C3" w:rsidRPr="00C660C3" w:rsidSect="00C660C3">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C3A" w:rsidRDefault="00AB4C3A" w:rsidP="002D0972">
      <w:r>
        <w:separator/>
      </w:r>
    </w:p>
  </w:endnote>
  <w:endnote w:type="continuationSeparator" w:id="1">
    <w:p w:rsidR="00AB4C3A" w:rsidRDefault="00AB4C3A" w:rsidP="002D09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C3A" w:rsidRDefault="00AB4C3A" w:rsidP="002D0972">
      <w:r>
        <w:separator/>
      </w:r>
    </w:p>
  </w:footnote>
  <w:footnote w:type="continuationSeparator" w:id="1">
    <w:p w:rsidR="00AB4C3A" w:rsidRDefault="00AB4C3A" w:rsidP="002D09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3D99"/>
    <w:rsid w:val="00140C96"/>
    <w:rsid w:val="002064C1"/>
    <w:rsid w:val="002D0972"/>
    <w:rsid w:val="00863056"/>
    <w:rsid w:val="00AB4C3A"/>
    <w:rsid w:val="00C660C3"/>
    <w:rsid w:val="00C97DAC"/>
    <w:rsid w:val="00CE3D99"/>
    <w:rsid w:val="00F134AB"/>
    <w:rsid w:val="00FE06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C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09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0972"/>
    <w:rPr>
      <w:rFonts w:ascii="Times New Roman" w:eastAsia="宋体" w:hAnsi="Times New Roman" w:cs="Times New Roman"/>
      <w:sz w:val="18"/>
      <w:szCs w:val="18"/>
    </w:rPr>
  </w:style>
  <w:style w:type="paragraph" w:styleId="a4">
    <w:name w:val="footer"/>
    <w:basedOn w:val="a"/>
    <w:link w:val="Char0"/>
    <w:uiPriority w:val="99"/>
    <w:semiHidden/>
    <w:unhideWhenUsed/>
    <w:rsid w:val="002D09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097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83370255">
      <w:bodyDiv w:val="1"/>
      <w:marLeft w:val="0"/>
      <w:marRight w:val="0"/>
      <w:marTop w:val="0"/>
      <w:marBottom w:val="0"/>
      <w:divBdr>
        <w:top w:val="none" w:sz="0" w:space="0" w:color="auto"/>
        <w:left w:val="none" w:sz="0" w:space="0" w:color="auto"/>
        <w:bottom w:val="none" w:sz="0" w:space="0" w:color="auto"/>
        <w:right w:val="none" w:sz="0" w:space="0" w:color="auto"/>
      </w:divBdr>
    </w:div>
    <w:div w:id="84547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2016-06-21T00:41:00Z</cp:lastPrinted>
  <dcterms:created xsi:type="dcterms:W3CDTF">2016-06-21T00:06:00Z</dcterms:created>
  <dcterms:modified xsi:type="dcterms:W3CDTF">2016-06-28T00:04:00Z</dcterms:modified>
</cp:coreProperties>
</file>